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HORIZON — Roster prospection</w:t>
      </w:r>
    </w:p>
    <w:p>
      <w:r>
        <w:rPr>
          <w:color w:val="6b6560"/>
        </w:rPr>
        <w:t xml:space="preserve">Export du 2026-08-26</w:t>
      </w:r>
    </w:p>
    <w:tbl>
      <w:tblPr>
        <w:tblW w:type="pct" w:w="100%"/>
        <w:tblBorders>
          <w:top w:val="single" w:color="d8d2c5" w:sz="4"/>
          <w:left w:val="single" w:color="d8d2c5" w:sz="4"/>
          <w:bottom w:val="single" w:color="d8d2c5" w:sz="4"/>
          <w:right w:val="single" w:color="d8d2c5" w:sz="4"/>
          <w:insideH w:val="single" w:color="e2ddd6" w:sz="4"/>
          <w:insideV w:val="single" w:color="e2ddd6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6%"/>
            <w:shd w:fill="f0ece5" w:color="auto" w:val="clear"/>
          </w:tcPr>
          <w:p>
            <w:r>
              <w:rPr>
                <w:b/>
                <w:bCs/>
                <w:color w:val="1a1a1a"/>
              </w:rPr>
              <w:t xml:space="preserve">Vague</w:t>
            </w:r>
          </w:p>
        </w:tc>
        <w:tc>
          <w:tcPr>
            <w:tcW w:type="pct" w:w="18%"/>
            <w:shd w:fill="f0ece5" w:color="auto" w:val="clear"/>
          </w:tcPr>
          <w:p>
            <w:r>
              <w:rPr>
                <w:b/>
                <w:bCs/>
                <w:color w:val="1a1a1a"/>
              </w:rPr>
              <w:t xml:space="preserve">Société</w:t>
            </w:r>
          </w:p>
        </w:tc>
        <w:tc>
          <w:tcPr>
            <w:tcW w:type="pct" w:w="10%"/>
            <w:shd w:fill="f0ece5" w:color="auto" w:val="clear"/>
          </w:tcPr>
          <w:p>
            <w:r>
              <w:rPr>
                <w:b/>
                <w:bCs/>
                <w:color w:val="1a1a1a"/>
              </w:rPr>
              <w:t xml:space="preserve">Segment</w:t>
            </w:r>
          </w:p>
        </w:tc>
        <w:tc>
          <w:tcPr>
            <w:tcW w:type="pct" w:w="12%"/>
            <w:shd w:fill="f0ece5" w:color="auto" w:val="clear"/>
          </w:tcPr>
          <w:p>
            <w:r>
              <w:rPr>
                <w:b/>
                <w:bCs/>
                <w:color w:val="1a1a1a"/>
              </w:rPr>
              <w:t xml:space="preserve">Contact</w:t>
            </w:r>
          </w:p>
        </w:tc>
        <w:tc>
          <w:tcPr>
            <w:tcW w:type="pct" w:w="10%"/>
            <w:shd w:fill="f0ece5" w:color="auto" w:val="clear"/>
          </w:tcPr>
          <w:p>
            <w:r>
              <w:rPr>
                <w:b/>
                <w:bCs/>
                <w:color w:val="1a1a1a"/>
              </w:rPr>
              <w:t xml:space="preserve">Rôle</w:t>
            </w:r>
          </w:p>
        </w:tc>
        <w:tc>
          <w:tcPr>
            <w:tcW w:type="pct" w:w="16%"/>
            <w:shd w:fill="f0ece5" w:color="auto" w:val="clear"/>
          </w:tcPr>
          <w:p>
            <w:r>
              <w:rPr>
                <w:b/>
                <w:bCs/>
                <w:color w:val="1a1a1a"/>
              </w:rPr>
              <w:t xml:space="preserve">Email</w:t>
            </w:r>
          </w:p>
        </w:tc>
        <w:tc>
          <w:tcPr>
            <w:tcW w:type="pct" w:w="10%"/>
            <w:shd w:fill="f0ece5" w:color="auto" w:val="clear"/>
          </w:tcPr>
          <w:p>
            <w:r>
              <w:rPr>
                <w:b/>
                <w:bCs/>
                <w:color w:val="1a1a1a"/>
              </w:rPr>
              <w:t xml:space="preserve">Téléphone</w:t>
            </w:r>
          </w:p>
        </w:tc>
        <w:tc>
          <w:tcPr>
            <w:tcW w:type="pct" w:w="6%"/>
            <w:shd w:fill="f0ece5" w:color="auto" w:val="clear"/>
          </w:tcPr>
          <w:p>
            <w:r>
              <w:rPr>
                <w:b/>
                <w:bCs/>
                <w:color w:val="1a1a1a"/>
              </w:rPr>
              <w:t xml:space="preserve">Statut</w:t>
            </w:r>
          </w:p>
        </w:tc>
        <w:tc>
          <w:tcPr>
            <w:tcW w:type="pct" w:w="5%"/>
            <w:shd w:fill="f0ece5" w:color="auto" w:val="clear"/>
          </w:tcPr>
          <w:p>
            <w:r>
              <w:rPr>
                <w:b/>
                <w:bCs/>
                <w:color w:val="1a1a1a"/>
              </w:rPr>
              <w:t xml:space="preserve">Score</w:t>
            </w:r>
          </w:p>
        </w:tc>
        <w:tc>
          <w:tcPr>
            <w:tcW w:type="pct" w:w="9%"/>
            <w:shd w:fill="f0ece5" w:color="auto" w:val="clear"/>
          </w:tcPr>
          <w:p>
            <w:r>
              <w:rPr>
                <w:b/>
                <w:bCs/>
                <w:color w:val="1a1a1a"/>
              </w:rPr>
              <w:t xml:space="preserve">Source</w:t>
            </w:r>
          </w:p>
        </w:tc>
        <w:tc>
          <w:tcPr>
            <w:tcW w:type="pct" w:w="8%"/>
            <w:shd w:fill="f0ece5" w:color="auto" w:val="clear"/>
          </w:tcPr>
          <w:p>
            <w:r>
              <w:rPr>
                <w:b/>
                <w:bCs/>
                <w:color w:val="1a1a1a"/>
              </w:rPr>
              <w:t xml:space="preserve">Créé le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ADP — Paris CDG</w:t>
            </w:r>
          </w:p>
        </w:tc>
        <w:tc>
          <w:tcPr>
            <w:tcW w:type="pct" w:w="10%"/>
          </w:tcPr>
          <w:p>
            <w:r>
              <w:t xml:space="preserve">airports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ADP — Paris Orly</w:t>
            </w:r>
          </w:p>
        </w:tc>
        <w:tc>
          <w:tcPr>
            <w:tcW w:type="pct" w:w="10%"/>
          </w:tcPr>
          <w:p>
            <w:r>
              <w:t xml:space="preserve">airports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ADP — Lyon Saint-Exupéry</w:t>
            </w:r>
          </w:p>
        </w:tc>
        <w:tc>
          <w:tcPr>
            <w:tcW w:type="pct" w:w="10%"/>
          </w:tcPr>
          <w:p>
            <w:r>
              <w:t xml:space="preserve">airports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ADP — Lyon Bron</w:t>
            </w:r>
          </w:p>
        </w:tc>
        <w:tc>
          <w:tcPr>
            <w:tcW w:type="pct" w:w="10%"/>
          </w:tcPr>
          <w:p>
            <w:r>
              <w:t xml:space="preserve">airports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AP-HP — Hôpital Bicêtre (Le Kremlin-Bicêtre)</w:t>
            </w:r>
          </w:p>
        </w:tc>
        <w:tc>
          <w:tcPr>
            <w:tcW w:type="pct" w:w="10%"/>
          </w:tcPr>
          <w:p>
            <w:r>
              <w:t xml:space="preserve">hospitals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CHU de Toulouse — Hôpital Rangueil</w:t>
            </w:r>
          </w:p>
        </w:tc>
        <w:tc>
          <w:tcPr>
            <w:tcW w:type="pct" w:w="10%"/>
          </w:tcPr>
          <w:p>
            <w:r>
              <w:t xml:space="preserve">hospitals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CH de Périgueux</w:t>
            </w:r>
          </w:p>
        </w:tc>
        <w:tc>
          <w:tcPr>
            <w:tcW w:type="pct" w:w="10%"/>
          </w:tcPr>
          <w:p>
            <w:r>
              <w:t xml:space="preserve">hospitals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CH de Montluçon</w:t>
            </w:r>
          </w:p>
        </w:tc>
        <w:tc>
          <w:tcPr>
            <w:tcW w:type="pct" w:w="10%"/>
          </w:tcPr>
          <w:p>
            <w:r>
              <w:t xml:space="preserve">hospitals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SCC — Centre commercial (France)</w:t>
            </w:r>
          </w:p>
        </w:tc>
        <w:tc>
          <w:tcPr>
            <w:tcW w:type="pct" w:w="10%"/>
          </w:tcPr>
          <w:p>
            <w:r>
              <w:t xml:space="preserve">retail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SCC — Centre commercial (France)</w:t>
            </w:r>
          </w:p>
        </w:tc>
        <w:tc>
          <w:tcPr>
            <w:tcW w:type="pct" w:w="10%"/>
          </w:tcPr>
          <w:p>
            <w:r>
              <w:t xml:space="preserve">retail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AXA IM — Retail park portfolio (France)</w:t>
            </w:r>
          </w:p>
        </w:tc>
        <w:tc>
          <w:tcPr>
            <w:tcW w:type="pct" w:w="10%"/>
          </w:tcPr>
          <w:p>
            <w:r>
              <w:t xml:space="preserve">retail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Mitiska REIM — Retail park portfolio (France)</w:t>
            </w:r>
          </w:p>
        </w:tc>
        <w:tc>
          <w:tcPr>
            <w:tcW w:type="pct" w:w="10%"/>
          </w:tcPr>
          <w:p>
            <w:r>
              <w:t xml:space="preserve">retail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Prologis — Platform logistique (France)</w:t>
            </w:r>
          </w:p>
        </w:tc>
        <w:tc>
          <w:tcPr>
            <w:tcW w:type="pct" w:w="10%"/>
          </w:tcPr>
          <w:p>
            <w:r>
              <w:t xml:space="preserve">logistics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Goodman — Platform logistique (France)</w:t>
            </w:r>
          </w:p>
        </w:tc>
        <w:tc>
          <w:tcPr>
            <w:tcW w:type="pct" w:w="10%"/>
          </w:tcPr>
          <w:p>
            <w:r>
              <w:t xml:space="preserve">logistics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SEGRO — Platform logistique (France)</w:t>
            </w:r>
          </w:p>
        </w:tc>
        <w:tc>
          <w:tcPr>
            <w:tcW w:type="pct" w:w="10%"/>
          </w:tcPr>
          <w:p>
            <w:r>
              <w:t xml:space="preserve">logistics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ID Logistics — Platform logistique (France)</w:t>
            </w:r>
          </w:p>
        </w:tc>
        <w:tc>
          <w:tcPr>
            <w:tcW w:type="pct" w:w="10%"/>
          </w:tcPr>
          <w:p>
            <w:r>
              <w:t xml:space="preserve">logistics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SNCF — Gare de Lyon Part-Dieu</w:t>
            </w:r>
          </w:p>
        </w:tc>
        <w:tc>
          <w:tcPr>
            <w:tcW w:type="pct" w:w="10%"/>
          </w:tcPr>
          <w:p>
            <w:r>
              <w:t xml:space="preserve">gares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SNCF — Gare de Lille Europe / Flandres</w:t>
            </w:r>
          </w:p>
        </w:tc>
        <w:tc>
          <w:tcPr>
            <w:tcW w:type="pct" w:w="10%"/>
          </w:tcPr>
          <w:p>
            <w:r>
              <w:t xml:space="preserve">gares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SNCF — Gare de Marseille Saint-Charles</w:t>
            </w:r>
          </w:p>
        </w:tc>
        <w:tc>
          <w:tcPr>
            <w:tcW w:type="pct" w:w="10%"/>
          </w:tcPr>
          <w:p>
            <w:r>
              <w:t xml:space="preserve">gares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vague-2-segment</w:t>
            </w:r>
          </w:p>
        </w:tc>
        <w:tc>
          <w:tcPr>
            <w:tcW w:type="pct" w:w="18%"/>
          </w:tcPr>
          <w:p>
            <w:r>
              <w:t xml:space="preserve">SNCF — Gare de Bordeaux Saint-Jean</w:t>
            </w:r>
          </w:p>
        </w:tc>
        <w:tc>
          <w:tcPr>
            <w:tcW w:type="pct" w:w="10%"/>
          </w:tcPr>
          <w:p>
            <w:r>
              <w:t xml:space="preserve">gares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vague-2-cold-outreach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vague-3-automotive</w:t>
            </w:r>
          </w:p>
        </w:tc>
        <w:tc>
          <w:tcPr>
            <w:tcW w:type="pct" w:w="18%"/>
          </w:tcPr>
          <w:p>
            <w:r>
              <w:t xml:space="preserve">Emil Frey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vague-3-tier1-enrichment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vague-3-automotive</w:t>
            </w:r>
          </w:p>
        </w:tc>
        <w:tc>
          <w:tcPr>
            <w:tcW w:type="pct" w:w="18%"/>
          </w:tcPr>
          <w:p>
            <w:r>
              <w:t xml:space="preserve">BYmyCAR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vague-3-tier1-enrichment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vague-3-automotive</w:t>
            </w:r>
          </w:p>
        </w:tc>
        <w:tc>
          <w:tcPr>
            <w:tcW w:type="pct" w:w="18%"/>
          </w:tcPr>
          <w:p>
            <w:r>
              <w:t xml:space="preserve">Groupe Maurin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vague-3-tier1-enrichment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vague-3-automotive</w:t>
            </w:r>
          </w:p>
        </w:tc>
        <w:tc>
          <w:tcPr>
            <w:tcW w:type="pct" w:w="18%"/>
          </w:tcPr>
          <w:p>
            <w:r>
              <w:t xml:space="preserve">Gueudet 1880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vague-3-tier1-enrichment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vague-3-automotive</w:t>
            </w:r>
          </w:p>
        </w:tc>
        <w:tc>
          <w:tcPr>
            <w:tcW w:type="pct" w:w="18%"/>
          </w:tcPr>
          <w:p>
            <w:r>
              <w:t xml:space="preserve">RCM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vague-3-tier1-enrichment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vague-3-automotive</w:t>
            </w:r>
          </w:p>
        </w:tc>
        <w:tc>
          <w:tcPr>
            <w:tcW w:type="pct" w:w="18%"/>
          </w:tcPr>
          <w:p>
            <w:r>
              <w:t xml:space="preserve">Eden Auto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vague-3-tier1-enrichment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vague-3-automotive</w:t>
            </w:r>
          </w:p>
        </w:tc>
        <w:tc>
          <w:tcPr>
            <w:tcW w:type="pct" w:w="18%"/>
          </w:tcPr>
          <w:p>
            <w:r>
              <w:t xml:space="preserve">Bernard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vague-3-tier1-enrichment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vague-3-automotive</w:t>
            </w:r>
          </w:p>
        </w:tc>
        <w:tc>
          <w:tcPr>
            <w:tcW w:type="pct" w:w="18%"/>
          </w:tcPr>
          <w:p>
            <w:r>
              <w:t xml:space="preserve">Chopard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vague-3-tier1-enrichment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vague-3-automotive</w:t>
            </w:r>
          </w:p>
        </w:tc>
        <w:tc>
          <w:tcPr>
            <w:tcW w:type="pct" w:w="18%"/>
          </w:tcPr>
          <w:p>
            <w:r>
              <w:t xml:space="preserve">BPM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vague-3-tier1-enrichment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vague-3-automotive</w:t>
            </w:r>
          </w:p>
        </w:tc>
        <w:tc>
          <w:tcPr>
            <w:tcW w:type="pct" w:w="18%"/>
          </w:tcPr>
          <w:p>
            <w:r>
              <w:t xml:space="preserve">Car Avenue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vague-3-tier1-enrichment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vague-3-automotive</w:t>
            </w:r>
          </w:p>
        </w:tc>
        <w:tc>
          <w:tcPr>
            <w:tcW w:type="pct" w:w="18%"/>
          </w:tcPr>
          <w:p>
            <w:r>
              <w:t xml:space="preserve">GCA Groupe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vague-3-tier1-enrichment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vague-3-automotive</w:t>
            </w:r>
          </w:p>
        </w:tc>
        <w:tc>
          <w:tcPr>
            <w:tcW w:type="pct" w:w="18%"/>
          </w:tcPr>
          <w:p>
            <w:r>
              <w:t xml:space="preserve">Car Lovers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vague-3-tier1-enrichment</w:t>
            </w:r>
          </w:p>
        </w:tc>
        <w:tc>
          <w:tcPr>
            <w:tcW w:type="pct" w:w="8%"/>
          </w:tcPr>
          <w:p>
            <w:r>
              <w:t xml:space="preserve">—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Aéroport Paris-Orly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Direction Patrimoine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Aéroport Lyon-Saint-Exupéry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Direction Exploitation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Aéroport Toulouse-Blagnac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Service Patrimoine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Aéroport Nice Côte d'Azur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Direction Patrimoine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Aéroport Bordeaux-Mérignac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Direction Aéroportuaire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CHU de Lille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Catherine Tedesco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CHU de Toulouse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DRH / Dir. Patrimoine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CHU de Nantes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Direction Patrimoine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CHU de Rennes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Direction Patrimoine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CHU de Strasbourg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Direction Patrimoine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SNCF Gares &amp; Connexions — Gare de Lyon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Service Patrimoine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SNCF Gares &amp; Connexions — Gare de Bordeaux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Service Patrimoine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Centre commercial Parly 2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Direction Commerce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Centre commercial Créteil Soleil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Direction Patrimoine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Centre commercial Vélizy 2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Direction Patrimoine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Zone commerciale Les 4 Temps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Direction Générale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IKEA France — plateforme Lisses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Direction Logistique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Aushopping Toulouse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Direction Centre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CHU de Rouen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Direction Patrimoine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Gare Marseille-Saint-Charles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Service Patrimoine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2026-06-26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Emil Frey France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Didier Lemery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2026-07-13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BYmyCAR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Grégory Pau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2026-07-13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Maurin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Paul Maurin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2026-07-13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Gueudet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Georges Gueudet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2026-07-13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RCM (Réseau des Concessionnaires Mercedes)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Marc Bouchard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2026-07-13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Eden Auto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Philippe Delomier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2026-07-13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Bernard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Serge Bernard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2026-07-13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Chopard (Groupe Chopard)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Eric Chopard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2026-07-13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BPM (Bernard Passion Mobility)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Thierry Bernard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2026-07-13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Car Avenue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Christophe Guihard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2026-07-13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GCA (Groupe Chopard Atlantique)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Eric Chopard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2026-07-13</w:t>
            </w:r>
          </w:p>
        </w:tc>
      </w:tr>
      <w:tr>
        <w:tc>
          <w:tcPr>
            <w:tcW w:type="pct" w:w="6%"/>
          </w:tcPr>
          <w:p>
            <w:r>
              <w:t xml:space="preserve">parking-operator</w:t>
            </w:r>
          </w:p>
        </w:tc>
        <w:tc>
          <w:tcPr>
            <w:tcW w:type="pct" w:w="18%"/>
          </w:tcPr>
          <w:p>
            <w:r>
              <w:t xml:space="preserve">Car Lovers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2%"/>
          </w:tcPr>
          <w:p>
            <w:r>
              <w:t xml:space="preserve">Patrice Salem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16%"/>
          </w:tcPr>
          <w:p>
            <w:r>
              <w:t xml:space="preserve">—</w:t>
            </w:r>
          </w:p>
        </w:tc>
        <w:tc>
          <w:tcPr>
            <w:tcW w:type="pct" w:w="10%"/>
          </w:tcPr>
          <w:p>
            <w:r>
              <w:t xml:space="preserve">—</w:t>
            </w:r>
          </w:p>
        </w:tc>
        <w:tc>
          <w:tcPr>
            <w:tcW w:type="pct" w:w="6%"/>
          </w:tcPr>
          <w:p>
            <w:r>
              <w:t xml:space="preserve">—</w:t>
            </w:r>
          </w:p>
        </w:tc>
        <w:tc>
          <w:tcPr>
            <w:tcW w:type="pct" w:w="5%"/>
          </w:tcPr>
          <w:p>
            <w:r>
              <w:t xml:space="preserve">—</w:t>
            </w:r>
          </w:p>
        </w:tc>
        <w:tc>
          <w:tcPr>
            <w:tcW w:type="pct" w:w="9%"/>
          </w:tcPr>
          <w:p>
            <w:r>
              <w:t xml:space="preserve">contact</w:t>
            </w:r>
          </w:p>
        </w:tc>
        <w:tc>
          <w:tcPr>
            <w:tcW w:type="pct" w:w="8%"/>
          </w:tcPr>
          <w:p>
            <w:r>
              <w:t xml:space="preserve">2026-07-13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 — Roster prospection</dc:title>
  <dc:creator>HORIZON — Atelier Éres</dc:creator>
  <cp:lastModifiedBy>Un-named</cp:lastModifiedBy>
  <cp:revision>1</cp:revision>
  <dcterms:created xsi:type="dcterms:W3CDTF">2026-08-26T01:57:59.746Z</dcterms:created>
  <dcterms:modified xsi:type="dcterms:W3CDTF">2026-08-26T01:57:59.746Z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